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D402" w14:textId="2AE935DE" w:rsidR="001E0BFC" w:rsidRPr="00971F2F" w:rsidRDefault="001E0BFC" w:rsidP="00D7328C">
      <w:pPr>
        <w:pStyle w:val="NoSpacing"/>
        <w:rPr>
          <w:rFonts w:eastAsia="Times New Roman" w:cstheme="minorHAnsi"/>
        </w:rPr>
      </w:pPr>
      <w:r w:rsidRPr="00971F2F">
        <w:rPr>
          <w:rFonts w:eastAsia="Times New Roman" w:cstheme="minorHAnsi"/>
        </w:rPr>
        <w:t xml:space="preserve">Dear </w:t>
      </w:r>
      <w:proofErr w:type="spellStart"/>
      <w:r w:rsidRPr="00971F2F">
        <w:rPr>
          <w:rFonts w:eastAsia="Times New Roman" w:cstheme="minorHAnsi"/>
        </w:rPr>
        <w:t>Assemblymember</w:t>
      </w:r>
      <w:proofErr w:type="spellEnd"/>
      <w:r w:rsidRPr="00971F2F">
        <w:rPr>
          <w:rFonts w:eastAsia="Times New Roman" w:cstheme="minorHAnsi"/>
        </w:rPr>
        <w:t xml:space="preserve">/Senator </w:t>
      </w:r>
    </w:p>
    <w:p w14:paraId="3B7ED0DC" w14:textId="77777777" w:rsidR="001E0BFC" w:rsidRPr="00971F2F" w:rsidRDefault="001E0BFC" w:rsidP="00D7328C">
      <w:pPr>
        <w:pStyle w:val="NoSpacing"/>
        <w:rPr>
          <w:rFonts w:eastAsia="Times New Roman" w:cstheme="minorHAnsi"/>
        </w:rPr>
      </w:pPr>
    </w:p>
    <w:p w14:paraId="61408926" w14:textId="609B9FAB" w:rsidR="001E0BFC" w:rsidRPr="00971F2F" w:rsidRDefault="001E0BFC" w:rsidP="00D7328C">
      <w:pPr>
        <w:pStyle w:val="NoSpacing"/>
        <w:rPr>
          <w:rFonts w:eastAsia="Times New Roman" w:cstheme="minorHAnsi"/>
        </w:rPr>
      </w:pPr>
      <w:r w:rsidRPr="00971F2F">
        <w:rPr>
          <w:rFonts w:eastAsia="Times New Roman" w:cstheme="minorHAnsi"/>
        </w:rPr>
        <w:t>I am requesting you support the Early Care and Education (ECE) Coalition budget request to Save California’s Child Care.</w:t>
      </w:r>
    </w:p>
    <w:p w14:paraId="6D5F6D0E" w14:textId="77777777" w:rsidR="001E0BFC" w:rsidRPr="00971F2F" w:rsidRDefault="001E0BFC" w:rsidP="00D7328C">
      <w:pPr>
        <w:pStyle w:val="NoSpacing"/>
        <w:rPr>
          <w:rFonts w:eastAsia="Times New Roman" w:cstheme="minorHAnsi"/>
        </w:rPr>
      </w:pPr>
    </w:p>
    <w:p w14:paraId="20DAD375" w14:textId="63B8A38C" w:rsidR="00D7328C" w:rsidRPr="00971F2F" w:rsidRDefault="00971F2F" w:rsidP="00D7328C">
      <w:pPr>
        <w:pStyle w:val="NoSpacing"/>
        <w:rPr>
          <w:rStyle w:val="Strong"/>
          <w:rFonts w:cstheme="minorHAnsi"/>
          <w:color w:val="0E101A"/>
        </w:rPr>
      </w:pPr>
      <w:r w:rsidRPr="00971F2F">
        <w:rPr>
          <w:rFonts w:cstheme="minorHAnsi"/>
        </w:rPr>
        <w:t xml:space="preserve">The ECE Coalition budget request will help mitigate the disparate impact that communities of color face every day when it comes to </w:t>
      </w:r>
      <w:proofErr w:type="gramStart"/>
      <w:r w:rsidRPr="00971F2F">
        <w:rPr>
          <w:rFonts w:cstheme="minorHAnsi"/>
        </w:rPr>
        <w:t>child care</w:t>
      </w:r>
      <w:proofErr w:type="gramEnd"/>
      <w:r w:rsidRPr="00971F2F">
        <w:rPr>
          <w:rFonts w:cstheme="minorHAnsi"/>
        </w:rPr>
        <w:t xml:space="preserve"> and provide immediate relief to the child care system in California. </w:t>
      </w:r>
      <w:r w:rsidRPr="00971F2F">
        <w:rPr>
          <w:rStyle w:val="Strong"/>
          <w:rFonts w:cstheme="minorHAnsi"/>
          <w:color w:val="0E101A"/>
        </w:rPr>
        <w:t xml:space="preserve">These funds will strengthen and expand a comprehensive </w:t>
      </w:r>
      <w:proofErr w:type="gramStart"/>
      <w:r w:rsidRPr="00971F2F">
        <w:rPr>
          <w:rStyle w:val="Strong"/>
          <w:rFonts w:cstheme="minorHAnsi"/>
          <w:color w:val="0E101A"/>
        </w:rPr>
        <w:t>child care</w:t>
      </w:r>
      <w:proofErr w:type="gramEnd"/>
      <w:r w:rsidRPr="00971F2F">
        <w:rPr>
          <w:rStyle w:val="Strong"/>
          <w:rFonts w:cstheme="minorHAnsi"/>
          <w:color w:val="0E101A"/>
        </w:rPr>
        <w:t xml:space="preserve"> system that is equitable, affordable, accessible, meets families' needs, and pays providers a fair wage.</w:t>
      </w:r>
    </w:p>
    <w:p w14:paraId="3D671A9C" w14:textId="77777777" w:rsidR="00971F2F" w:rsidRPr="00971F2F" w:rsidRDefault="00971F2F" w:rsidP="00D7328C">
      <w:pPr>
        <w:pStyle w:val="NoSpacing"/>
        <w:rPr>
          <w:rFonts w:cstheme="minorHAnsi"/>
        </w:rPr>
      </w:pPr>
    </w:p>
    <w:p w14:paraId="05EEE289" w14:textId="77777777" w:rsidR="00D7328C" w:rsidRPr="00971F2F" w:rsidRDefault="00D7328C" w:rsidP="00D7328C">
      <w:pPr>
        <w:pStyle w:val="NoSpacing"/>
        <w:spacing w:after="120"/>
        <w:rPr>
          <w:rFonts w:eastAsia="Times New Roman" w:cstheme="minorHAnsi"/>
        </w:rPr>
      </w:pPr>
      <w:r w:rsidRPr="00971F2F">
        <w:rPr>
          <w:rFonts w:eastAsia="Times New Roman" w:cstheme="minorHAnsi"/>
        </w:rPr>
        <w:t>Direct Services:</w:t>
      </w:r>
    </w:p>
    <w:p w14:paraId="387549A2" w14:textId="77777777" w:rsidR="00D7328C" w:rsidRPr="00971F2F" w:rsidRDefault="00D7328C" w:rsidP="00D7328C">
      <w:pPr>
        <w:pStyle w:val="NoSpacing"/>
        <w:numPr>
          <w:ilvl w:val="0"/>
          <w:numId w:val="1"/>
        </w:numPr>
        <w:rPr>
          <w:rFonts w:eastAsia="Times New Roman" w:cstheme="minorHAnsi"/>
        </w:rPr>
      </w:pPr>
      <w:r w:rsidRPr="00971F2F">
        <w:rPr>
          <w:rFonts w:eastAsia="Times New Roman" w:cstheme="minorHAnsi"/>
        </w:rPr>
        <w:t xml:space="preserve">$435 million in on-going general fund and federal fund dollars for a rate increase to bring all </w:t>
      </w:r>
      <w:proofErr w:type="gramStart"/>
      <w:r w:rsidRPr="00971F2F">
        <w:rPr>
          <w:rFonts w:eastAsia="Times New Roman" w:cstheme="minorHAnsi"/>
        </w:rPr>
        <w:t>child care</w:t>
      </w:r>
      <w:proofErr w:type="gramEnd"/>
      <w:r w:rsidRPr="00971F2F">
        <w:rPr>
          <w:rFonts w:eastAsia="Times New Roman" w:cstheme="minorHAnsi"/>
        </w:rPr>
        <w:t xml:space="preserve"> providers to the 2018 regional market rate level;</w:t>
      </w:r>
    </w:p>
    <w:p w14:paraId="0696979C" w14:textId="77777777" w:rsidR="00D7328C" w:rsidRPr="00971F2F" w:rsidRDefault="00D7328C" w:rsidP="00D7328C">
      <w:pPr>
        <w:pStyle w:val="NoSpacing"/>
        <w:numPr>
          <w:ilvl w:val="0"/>
          <w:numId w:val="1"/>
        </w:numPr>
        <w:rPr>
          <w:rFonts w:eastAsia="Times New Roman" w:cstheme="minorHAnsi"/>
        </w:rPr>
      </w:pPr>
      <w:r w:rsidRPr="00971F2F">
        <w:rPr>
          <w:rFonts w:eastAsia="Times New Roman" w:cstheme="minorHAnsi"/>
        </w:rPr>
        <w:t xml:space="preserve">$1.75 billion for </w:t>
      </w:r>
      <w:proofErr w:type="gramStart"/>
      <w:r w:rsidRPr="00971F2F">
        <w:rPr>
          <w:rFonts w:eastAsia="Times New Roman" w:cstheme="minorHAnsi"/>
        </w:rPr>
        <w:t>child care</w:t>
      </w:r>
      <w:proofErr w:type="gramEnd"/>
      <w:r w:rsidRPr="00971F2F">
        <w:rPr>
          <w:rFonts w:eastAsia="Times New Roman" w:cstheme="minorHAnsi"/>
        </w:rPr>
        <w:t xml:space="preserve"> spaces with family fees waived </w:t>
      </w:r>
      <w:r w:rsidRPr="00971F2F">
        <w:rPr>
          <w:rFonts w:cstheme="minorHAnsi"/>
          <w:color w:val="000000"/>
        </w:rPr>
        <w:t>(including Title 5 programs, contracted centers, family child care home, AP providers &amp; family friend neighbor providers)</w:t>
      </w:r>
    </w:p>
    <w:p w14:paraId="5A42E149" w14:textId="77777777" w:rsidR="00D7328C" w:rsidRPr="00971F2F" w:rsidRDefault="00D7328C" w:rsidP="00D7328C">
      <w:pPr>
        <w:pStyle w:val="NoSpacing"/>
        <w:numPr>
          <w:ilvl w:val="1"/>
          <w:numId w:val="1"/>
        </w:numPr>
        <w:rPr>
          <w:rFonts w:eastAsia="Times New Roman" w:cstheme="minorHAnsi"/>
        </w:rPr>
      </w:pPr>
      <w:r w:rsidRPr="00971F2F">
        <w:rPr>
          <w:rFonts w:eastAsia="Times New Roman" w:cstheme="minorHAnsi"/>
        </w:rPr>
        <w:t>$750 million in on-going general fund and federal fund dollars</w:t>
      </w:r>
    </w:p>
    <w:p w14:paraId="52C98E67" w14:textId="77777777" w:rsidR="00D7328C" w:rsidRPr="00971F2F" w:rsidRDefault="00D7328C" w:rsidP="00D7328C">
      <w:pPr>
        <w:pStyle w:val="NoSpacing"/>
        <w:numPr>
          <w:ilvl w:val="1"/>
          <w:numId w:val="1"/>
        </w:numPr>
        <w:rPr>
          <w:rFonts w:eastAsia="Times New Roman" w:cstheme="minorHAnsi"/>
        </w:rPr>
      </w:pPr>
      <w:r w:rsidRPr="00971F2F">
        <w:rPr>
          <w:rFonts w:eastAsia="Times New Roman" w:cstheme="minorHAnsi"/>
        </w:rPr>
        <w:t xml:space="preserve">$1 billion in one-time federal fund dollars over three </w:t>
      </w:r>
      <w:proofErr w:type="gramStart"/>
      <w:r w:rsidRPr="00971F2F">
        <w:rPr>
          <w:rFonts w:eastAsia="Times New Roman" w:cstheme="minorHAnsi"/>
        </w:rPr>
        <w:t>years;</w:t>
      </w:r>
      <w:proofErr w:type="gramEnd"/>
    </w:p>
    <w:p w14:paraId="1968D9F1" w14:textId="77777777" w:rsidR="00D7328C" w:rsidRPr="00971F2F" w:rsidRDefault="00D7328C" w:rsidP="00D7328C">
      <w:pPr>
        <w:pStyle w:val="NoSpacing"/>
        <w:numPr>
          <w:ilvl w:val="0"/>
          <w:numId w:val="1"/>
        </w:numPr>
        <w:rPr>
          <w:rFonts w:eastAsia="Times New Roman" w:cstheme="minorHAnsi"/>
        </w:rPr>
      </w:pPr>
      <w:r w:rsidRPr="00971F2F">
        <w:rPr>
          <w:rFonts w:eastAsia="Times New Roman" w:cstheme="minorHAnsi"/>
        </w:rPr>
        <w:t xml:space="preserve">$325 million in one-time federal fund dollars to cover all family fees through September </w:t>
      </w:r>
      <w:proofErr w:type="gramStart"/>
      <w:r w:rsidRPr="00971F2F">
        <w:rPr>
          <w:rFonts w:eastAsia="Times New Roman" w:cstheme="minorHAnsi"/>
        </w:rPr>
        <w:t>2024;</w:t>
      </w:r>
      <w:proofErr w:type="gramEnd"/>
    </w:p>
    <w:p w14:paraId="667DA1D4" w14:textId="77777777" w:rsidR="00D7328C" w:rsidRPr="00971F2F" w:rsidRDefault="00D7328C" w:rsidP="00D7328C">
      <w:pPr>
        <w:pStyle w:val="NoSpacing"/>
        <w:numPr>
          <w:ilvl w:val="0"/>
          <w:numId w:val="1"/>
        </w:numPr>
        <w:spacing w:after="120"/>
        <w:rPr>
          <w:rFonts w:eastAsia="Times New Roman" w:cstheme="minorHAnsi"/>
        </w:rPr>
      </w:pPr>
      <w:r w:rsidRPr="00971F2F">
        <w:rPr>
          <w:rFonts w:eastAsia="Times New Roman" w:cstheme="minorHAnsi"/>
        </w:rPr>
        <w:t>Ensuring providers are paid on an enrollment basis through September 2024.</w:t>
      </w:r>
    </w:p>
    <w:p w14:paraId="7CB63374" w14:textId="77777777" w:rsidR="00D7328C" w:rsidRPr="00971F2F" w:rsidRDefault="00D7328C" w:rsidP="00D7328C">
      <w:pPr>
        <w:pStyle w:val="NoSpacing"/>
        <w:spacing w:after="120"/>
        <w:rPr>
          <w:rFonts w:eastAsia="Times New Roman" w:cstheme="minorHAnsi"/>
        </w:rPr>
      </w:pPr>
      <w:r w:rsidRPr="00971F2F">
        <w:rPr>
          <w:rFonts w:eastAsia="Times New Roman" w:cstheme="minorHAnsi"/>
        </w:rPr>
        <w:t>Infrastructure Supports: </w:t>
      </w:r>
    </w:p>
    <w:p w14:paraId="74E0E97D" w14:textId="77777777" w:rsidR="00D7328C" w:rsidRPr="00971F2F" w:rsidRDefault="00D7328C" w:rsidP="00D7328C">
      <w:pPr>
        <w:pStyle w:val="NoSpacing"/>
        <w:numPr>
          <w:ilvl w:val="0"/>
          <w:numId w:val="2"/>
        </w:numPr>
        <w:rPr>
          <w:rFonts w:eastAsia="Times New Roman" w:cstheme="minorHAnsi"/>
        </w:rPr>
      </w:pPr>
      <w:bookmarkStart w:id="0" w:name="_Hlk68859376"/>
      <w:bookmarkStart w:id="1" w:name="_Hlk68768922"/>
      <w:r w:rsidRPr="00971F2F">
        <w:rPr>
          <w:rFonts w:eastAsia="Times New Roman" w:cstheme="minorHAnsi"/>
        </w:rPr>
        <w:t xml:space="preserve">$825 million in one-time general fund and federal fund dollars for facilities including comprehensive services for families ex: wellness hubs; re-opening and new </w:t>
      </w:r>
      <w:proofErr w:type="gramStart"/>
      <w:r w:rsidRPr="00971F2F">
        <w:rPr>
          <w:rFonts w:eastAsia="Times New Roman" w:cstheme="minorHAnsi"/>
        </w:rPr>
        <w:t>child care</w:t>
      </w:r>
      <w:proofErr w:type="gramEnd"/>
      <w:r w:rsidRPr="00971F2F">
        <w:rPr>
          <w:rFonts w:eastAsia="Times New Roman" w:cstheme="minorHAnsi"/>
        </w:rPr>
        <w:t xml:space="preserve"> provider grants</w:t>
      </w:r>
      <w:bookmarkEnd w:id="0"/>
      <w:r w:rsidRPr="00971F2F">
        <w:rPr>
          <w:rFonts w:eastAsia="Times New Roman" w:cstheme="minorHAnsi"/>
        </w:rPr>
        <w:t>;</w:t>
      </w:r>
    </w:p>
    <w:bookmarkEnd w:id="1"/>
    <w:p w14:paraId="736A6674" w14:textId="77777777" w:rsidR="00D7328C" w:rsidRPr="00971F2F" w:rsidRDefault="00D7328C" w:rsidP="00D7328C">
      <w:pPr>
        <w:pStyle w:val="NoSpacing"/>
        <w:numPr>
          <w:ilvl w:val="0"/>
          <w:numId w:val="2"/>
        </w:numPr>
        <w:rPr>
          <w:rFonts w:eastAsia="Times New Roman" w:cstheme="minorHAnsi"/>
        </w:rPr>
      </w:pPr>
      <w:r w:rsidRPr="00971F2F">
        <w:rPr>
          <w:rFonts w:eastAsia="Times New Roman" w:cstheme="minorHAnsi"/>
        </w:rPr>
        <w:t xml:space="preserve">$275 million in general fund and federal fund dollars to support professional </w:t>
      </w:r>
      <w:proofErr w:type="gramStart"/>
      <w:r w:rsidRPr="00971F2F">
        <w:rPr>
          <w:rFonts w:eastAsia="Times New Roman" w:cstheme="minorHAnsi"/>
        </w:rPr>
        <w:t>development;</w:t>
      </w:r>
      <w:proofErr w:type="gramEnd"/>
    </w:p>
    <w:p w14:paraId="53E96EB2" w14:textId="77777777" w:rsidR="00D7328C" w:rsidRPr="00971F2F" w:rsidRDefault="00D7328C" w:rsidP="00D7328C">
      <w:pPr>
        <w:pStyle w:val="NoSpacing"/>
        <w:numPr>
          <w:ilvl w:val="0"/>
          <w:numId w:val="2"/>
        </w:numPr>
        <w:rPr>
          <w:rFonts w:eastAsia="Times New Roman" w:cstheme="minorHAnsi"/>
        </w:rPr>
      </w:pPr>
      <w:r w:rsidRPr="00971F2F">
        <w:rPr>
          <w:rFonts w:eastAsia="Times New Roman" w:cstheme="minorHAnsi"/>
        </w:rPr>
        <w:t xml:space="preserve">$1.875 billion in one-time federal fund dollars for </w:t>
      </w:r>
      <w:proofErr w:type="gramStart"/>
      <w:r w:rsidRPr="00971F2F">
        <w:rPr>
          <w:rFonts w:eastAsia="Times New Roman" w:cstheme="minorHAnsi"/>
        </w:rPr>
        <w:t>child care</w:t>
      </w:r>
      <w:proofErr w:type="gramEnd"/>
      <w:r w:rsidRPr="00971F2F">
        <w:rPr>
          <w:rFonts w:eastAsia="Times New Roman" w:cstheme="minorHAnsi"/>
        </w:rPr>
        <w:t xml:space="preserve"> provider stipends and incentive grants to reach our neediest communities;</w:t>
      </w:r>
    </w:p>
    <w:p w14:paraId="3D487490" w14:textId="7318D19C" w:rsidR="00D7328C" w:rsidRPr="00971F2F" w:rsidRDefault="00D7328C" w:rsidP="00D7328C">
      <w:pPr>
        <w:pStyle w:val="NoSpacing"/>
        <w:numPr>
          <w:ilvl w:val="0"/>
          <w:numId w:val="2"/>
        </w:numPr>
        <w:rPr>
          <w:rFonts w:eastAsia="Times New Roman" w:cstheme="minorHAnsi"/>
        </w:rPr>
      </w:pPr>
      <w:r w:rsidRPr="00971F2F">
        <w:rPr>
          <w:rFonts w:eastAsia="Times New Roman" w:cstheme="minorHAnsi"/>
        </w:rPr>
        <w:t>$10</w:t>
      </w:r>
      <w:r w:rsidR="007B3A2F">
        <w:rPr>
          <w:rFonts w:eastAsia="Times New Roman" w:cstheme="minorHAnsi"/>
        </w:rPr>
        <w:t>5</w:t>
      </w:r>
      <w:r w:rsidRPr="00971F2F">
        <w:rPr>
          <w:rFonts w:eastAsia="Times New Roman" w:cstheme="minorHAnsi"/>
        </w:rPr>
        <w:t xml:space="preserve"> million in various funding to support and stabilize our </w:t>
      </w:r>
      <w:proofErr w:type="gramStart"/>
      <w:r w:rsidRPr="00971F2F">
        <w:rPr>
          <w:rFonts w:eastAsia="Times New Roman" w:cstheme="minorHAnsi"/>
        </w:rPr>
        <w:t>child care</w:t>
      </w:r>
      <w:proofErr w:type="gramEnd"/>
      <w:r w:rsidRPr="00971F2F">
        <w:rPr>
          <w:rFonts w:eastAsia="Times New Roman" w:cstheme="minorHAnsi"/>
        </w:rPr>
        <w:t xml:space="preserve"> infrastructure.</w:t>
      </w:r>
    </w:p>
    <w:p w14:paraId="1FAC803F" w14:textId="77777777" w:rsidR="00D7328C" w:rsidRPr="00971F2F" w:rsidRDefault="00D7328C" w:rsidP="00D7328C">
      <w:pPr>
        <w:pStyle w:val="NoSpacing"/>
        <w:rPr>
          <w:rFonts w:cstheme="minorHAnsi"/>
        </w:rPr>
      </w:pPr>
    </w:p>
    <w:p w14:paraId="37C0B2C0" w14:textId="77777777" w:rsidR="00D7328C" w:rsidRPr="00971F2F" w:rsidRDefault="00D7328C" w:rsidP="00D7328C">
      <w:pPr>
        <w:pStyle w:val="NoSpacing"/>
        <w:rPr>
          <w:rFonts w:cstheme="minorHAnsi"/>
          <w:b/>
          <w:bCs/>
        </w:rPr>
      </w:pPr>
      <w:r w:rsidRPr="00971F2F">
        <w:rPr>
          <w:rFonts w:cstheme="minorHAnsi"/>
          <w:b/>
          <w:bCs/>
        </w:rPr>
        <w:t xml:space="preserve">Women are leaving the </w:t>
      </w:r>
      <w:proofErr w:type="gramStart"/>
      <w:r w:rsidRPr="00971F2F">
        <w:rPr>
          <w:rFonts w:cstheme="minorHAnsi"/>
          <w:b/>
          <w:bCs/>
        </w:rPr>
        <w:t>workforce</w:t>
      </w:r>
      <w:proofErr w:type="gramEnd"/>
    </w:p>
    <w:p w14:paraId="76963CA0" w14:textId="77777777" w:rsidR="00D7328C" w:rsidRPr="00971F2F" w:rsidRDefault="00D7328C" w:rsidP="00D7328C">
      <w:pPr>
        <w:pStyle w:val="NoSpacing"/>
        <w:rPr>
          <w:rFonts w:cstheme="minorHAnsi"/>
        </w:rPr>
      </w:pPr>
      <w:r w:rsidRPr="00971F2F">
        <w:rPr>
          <w:rFonts w:cstheme="minorHAnsi"/>
        </w:rPr>
        <w:t>The COVID-19 pandemic has sharply illuminated what every working family already knew, </w:t>
      </w:r>
      <w:r w:rsidRPr="00971F2F">
        <w:rPr>
          <w:rStyle w:val="Strong"/>
          <w:rFonts w:cstheme="minorHAnsi"/>
          <w:color w:val="0E101A"/>
        </w:rPr>
        <w:t>Child Care IS Essential</w:t>
      </w:r>
      <w:r w:rsidRPr="00971F2F">
        <w:rPr>
          <w:rFonts w:cstheme="minorHAnsi"/>
          <w:b/>
        </w:rPr>
        <w:t>.</w:t>
      </w:r>
      <w:r w:rsidRPr="00971F2F">
        <w:rPr>
          <w:rFonts w:cstheme="minorHAnsi"/>
        </w:rPr>
        <w:t xml:space="preserve"> According to the </w:t>
      </w:r>
      <w:hyperlink r:id="rId5" w:history="1">
        <w:r w:rsidRPr="00971F2F">
          <w:rPr>
            <w:rStyle w:val="Hyperlink"/>
            <w:rFonts w:cstheme="minorHAnsi"/>
          </w:rPr>
          <w:t>National Women’s Law Center</w:t>
        </w:r>
      </w:hyperlink>
      <w:r w:rsidRPr="00971F2F">
        <w:rPr>
          <w:rFonts w:cstheme="minorHAnsi"/>
        </w:rPr>
        <w:t>, more than 2.3 million women have left the labor market entirely since the beginning of the pandemic in the United States</w:t>
      </w:r>
      <w:hyperlink r:id="rId6" w:history="1">
        <w:r w:rsidRPr="00971F2F">
          <w:rPr>
            <w:rStyle w:val="Hyperlink"/>
            <w:rFonts w:cstheme="minorHAnsi"/>
          </w:rPr>
          <w:t xml:space="preserve">. Lean </w:t>
        </w:r>
        <w:proofErr w:type="gramStart"/>
        <w:r w:rsidRPr="00971F2F">
          <w:rPr>
            <w:rStyle w:val="Hyperlink"/>
            <w:rFonts w:cstheme="minorHAnsi"/>
          </w:rPr>
          <w:t>In</w:t>
        </w:r>
        <w:proofErr w:type="gramEnd"/>
        <w:r w:rsidRPr="00971F2F">
          <w:rPr>
            <w:rStyle w:val="Hyperlink"/>
            <w:rFonts w:cstheme="minorHAnsi"/>
          </w:rPr>
          <w:t xml:space="preserve"> and the McKinsey &amp; Co</w:t>
        </w:r>
      </w:hyperlink>
      <w:r w:rsidRPr="00971F2F">
        <w:rPr>
          <w:rFonts w:cstheme="minorHAnsi"/>
        </w:rPr>
        <w:t xml:space="preserve"> estimate that 1 in 4 women are considering leaving the workforce or downshifting their careers due to the impact of COVID-19. </w:t>
      </w:r>
    </w:p>
    <w:p w14:paraId="7CA0ADE6" w14:textId="77777777" w:rsidR="00D7328C" w:rsidRPr="00971F2F" w:rsidRDefault="00D7328C" w:rsidP="00D7328C">
      <w:pPr>
        <w:pStyle w:val="NoSpacing"/>
        <w:rPr>
          <w:rFonts w:cstheme="minorHAnsi"/>
        </w:rPr>
      </w:pPr>
    </w:p>
    <w:p w14:paraId="3B3C406C" w14:textId="77777777" w:rsidR="00D7328C" w:rsidRPr="00971F2F" w:rsidRDefault="00D7328C" w:rsidP="00D7328C">
      <w:pPr>
        <w:pStyle w:val="NoSpacing"/>
        <w:rPr>
          <w:rFonts w:cstheme="minorHAnsi"/>
          <w:b/>
          <w:bCs/>
        </w:rPr>
      </w:pPr>
      <w:r w:rsidRPr="00971F2F">
        <w:rPr>
          <w:rFonts w:cstheme="minorHAnsi"/>
          <w:b/>
          <w:bCs/>
        </w:rPr>
        <w:t xml:space="preserve">Black and Latinx women are bearing the brunt of this </w:t>
      </w:r>
      <w:proofErr w:type="gramStart"/>
      <w:r w:rsidRPr="00971F2F">
        <w:rPr>
          <w:rFonts w:cstheme="minorHAnsi"/>
          <w:b/>
          <w:bCs/>
        </w:rPr>
        <w:t>crisis</w:t>
      </w:r>
      <w:proofErr w:type="gramEnd"/>
    </w:p>
    <w:p w14:paraId="48A534D8" w14:textId="1D958E66" w:rsidR="00D7328C" w:rsidRPr="00971F2F" w:rsidRDefault="00D7328C" w:rsidP="00D7328C">
      <w:pPr>
        <w:pStyle w:val="NoSpacing"/>
        <w:rPr>
          <w:rFonts w:cstheme="minorHAnsi"/>
        </w:rPr>
      </w:pPr>
      <w:r w:rsidRPr="00971F2F">
        <w:rPr>
          <w:rFonts w:cstheme="minorHAnsi"/>
        </w:rPr>
        <w:t xml:space="preserve">The pandemic has exposed the reality that women, particularly Black and Latinx women, have lost the most during this economic downturn. According to </w:t>
      </w:r>
      <w:hyperlink r:id="rId7" w:history="1">
        <w:r w:rsidRPr="00971F2F">
          <w:rPr>
            <w:rStyle w:val="Hyperlink"/>
            <w:rFonts w:cstheme="minorHAnsi"/>
          </w:rPr>
          <w:t>Child Trends</w:t>
        </w:r>
      </w:hyperlink>
      <w:r w:rsidRPr="00971F2F">
        <w:rPr>
          <w:rFonts w:cstheme="minorHAnsi"/>
        </w:rPr>
        <w:t xml:space="preserve">, Twenty-nine percent of Latinx and thirty-one percent of Black families with children are facing three or more economic and health-related hardships during the pandemic. This means that Latinx and Black families with children are experiencing three or more hardships at nearly twice the rate of their White and Asian counterparts (13% and 16%, respectively).  </w:t>
      </w:r>
    </w:p>
    <w:p w14:paraId="04E92561" w14:textId="77777777" w:rsidR="00D7328C" w:rsidRPr="00971F2F" w:rsidRDefault="00D7328C" w:rsidP="00D7328C">
      <w:pPr>
        <w:pStyle w:val="NoSpacing"/>
        <w:rPr>
          <w:rFonts w:cstheme="minorHAnsi"/>
        </w:rPr>
      </w:pPr>
    </w:p>
    <w:p w14:paraId="7F4BA4B8" w14:textId="77777777" w:rsidR="00D7328C" w:rsidRPr="00971F2F" w:rsidRDefault="00D7328C" w:rsidP="00D7328C">
      <w:pPr>
        <w:pStyle w:val="NoSpacing"/>
        <w:rPr>
          <w:rFonts w:cstheme="minorHAnsi"/>
          <w:b/>
          <w:bCs/>
        </w:rPr>
      </w:pPr>
      <w:proofErr w:type="gramStart"/>
      <w:r w:rsidRPr="00971F2F">
        <w:rPr>
          <w:rFonts w:cstheme="minorHAnsi"/>
          <w:b/>
          <w:bCs/>
        </w:rPr>
        <w:t>Child care</w:t>
      </w:r>
      <w:proofErr w:type="gramEnd"/>
      <w:r w:rsidRPr="00971F2F">
        <w:rPr>
          <w:rFonts w:cstheme="minorHAnsi"/>
          <w:b/>
          <w:bCs/>
        </w:rPr>
        <w:t xml:space="preserve"> infrastructure is on the brink of collapse   </w:t>
      </w:r>
    </w:p>
    <w:p w14:paraId="13FB26AD" w14:textId="25C1F19F" w:rsidR="00D7328C" w:rsidRPr="00971F2F" w:rsidRDefault="00D7328C" w:rsidP="00D7328C">
      <w:pPr>
        <w:pStyle w:val="NoSpacing"/>
        <w:rPr>
          <w:rFonts w:cstheme="minorHAnsi"/>
        </w:rPr>
      </w:pPr>
      <w:r w:rsidRPr="00971F2F">
        <w:rPr>
          <w:rFonts w:cstheme="minorHAnsi"/>
        </w:rPr>
        <w:t xml:space="preserve">According to the </w:t>
      </w:r>
      <w:hyperlink r:id="rId8" w:history="1">
        <w:r w:rsidRPr="00971F2F">
          <w:rPr>
            <w:rStyle w:val="Hyperlink"/>
            <w:rFonts w:cstheme="minorHAnsi"/>
          </w:rPr>
          <w:t>Resource and Referral Network</w:t>
        </w:r>
      </w:hyperlink>
      <w:r w:rsidRPr="00971F2F">
        <w:rPr>
          <w:rFonts w:cstheme="minorHAnsi"/>
        </w:rPr>
        <w:t xml:space="preserve"> in California 33% of licensed </w:t>
      </w:r>
      <w:proofErr w:type="gramStart"/>
      <w:r w:rsidRPr="00971F2F">
        <w:rPr>
          <w:rFonts w:cstheme="minorHAnsi"/>
        </w:rPr>
        <w:t>child care</w:t>
      </w:r>
      <w:proofErr w:type="gramEnd"/>
      <w:r w:rsidRPr="00971F2F">
        <w:rPr>
          <w:rFonts w:cstheme="minorHAnsi"/>
        </w:rPr>
        <w:t xml:space="preserve"> centers and 14% of licensed family child care homes have closed their doors since the start of the pandemic. This </w:t>
      </w:r>
      <w:r w:rsidRPr="00971F2F">
        <w:rPr>
          <w:rFonts w:cstheme="minorHAnsi"/>
        </w:rPr>
        <w:lastRenderedPageBreak/>
        <w:t xml:space="preserve">represents a significant </w:t>
      </w:r>
      <w:bookmarkStart w:id="2" w:name="_Hlk68866106"/>
      <w:r w:rsidRPr="00971F2F">
        <w:rPr>
          <w:rFonts w:cstheme="minorHAnsi"/>
        </w:rPr>
        <w:t xml:space="preserve">loss of </w:t>
      </w:r>
      <w:r w:rsidR="007D3F7D">
        <w:rPr>
          <w:rFonts w:cstheme="minorHAnsi"/>
        </w:rPr>
        <w:t xml:space="preserve">an already precarious </w:t>
      </w:r>
      <w:r w:rsidRPr="00971F2F">
        <w:rPr>
          <w:rFonts w:cstheme="minorHAnsi"/>
        </w:rPr>
        <w:t xml:space="preserve">private </w:t>
      </w:r>
      <w:bookmarkEnd w:id="2"/>
      <w:r w:rsidRPr="00971F2F">
        <w:rPr>
          <w:rFonts w:cstheme="minorHAnsi"/>
        </w:rPr>
        <w:t xml:space="preserve">and state supported </w:t>
      </w:r>
      <w:proofErr w:type="gramStart"/>
      <w:r w:rsidRPr="00971F2F">
        <w:rPr>
          <w:rFonts w:cstheme="minorHAnsi"/>
        </w:rPr>
        <w:t>child care</w:t>
      </w:r>
      <w:proofErr w:type="gramEnd"/>
      <w:r w:rsidRPr="00971F2F">
        <w:rPr>
          <w:rFonts w:cstheme="minorHAnsi"/>
        </w:rPr>
        <w:t xml:space="preserve"> capacity. </w:t>
      </w:r>
      <w:hyperlink r:id="rId9" w:anchor=":~:text=The%20U.S.%20child%20care%20system,Child%20Care%20Employment%20(CSCCE)" w:history="1">
        <w:r w:rsidRPr="00971F2F">
          <w:rPr>
            <w:rStyle w:val="Hyperlink"/>
            <w:rFonts w:cstheme="minorHAnsi"/>
          </w:rPr>
          <w:t>The UC Berkeley Center for the Study of Child Care Employment</w:t>
        </w:r>
      </w:hyperlink>
      <w:r w:rsidRPr="00971F2F">
        <w:rPr>
          <w:rFonts w:cstheme="minorHAnsi"/>
        </w:rPr>
        <w:t xml:space="preserve">, determined that nationwide, the </w:t>
      </w:r>
      <w:proofErr w:type="gramStart"/>
      <w:r w:rsidRPr="00971F2F">
        <w:rPr>
          <w:rFonts w:cstheme="minorHAnsi"/>
        </w:rPr>
        <w:t>child care</w:t>
      </w:r>
      <w:proofErr w:type="gramEnd"/>
      <w:r w:rsidRPr="00971F2F">
        <w:rPr>
          <w:rFonts w:cstheme="minorHAnsi"/>
        </w:rPr>
        <w:t xml:space="preserve"> workforce shrank by 20%, nearly 200,0</w:t>
      </w:r>
      <w:r w:rsidR="007D3F7D">
        <w:rPr>
          <w:rFonts w:cstheme="minorHAnsi"/>
        </w:rPr>
        <w:t>0</w:t>
      </w:r>
      <w:r w:rsidRPr="00971F2F">
        <w:rPr>
          <w:rFonts w:cstheme="minorHAnsi"/>
        </w:rPr>
        <w:t xml:space="preserve">0 child care workers, within the first six months of the pandemic. </w:t>
      </w:r>
      <w:r w:rsidRPr="00971F2F">
        <w:rPr>
          <w:rFonts w:cstheme="minorHAnsi"/>
          <w:b/>
          <w:bCs/>
        </w:rPr>
        <w:t xml:space="preserve">California’s </w:t>
      </w:r>
      <w:proofErr w:type="gramStart"/>
      <w:r w:rsidRPr="00971F2F">
        <w:rPr>
          <w:rFonts w:cstheme="minorHAnsi"/>
          <w:b/>
          <w:bCs/>
        </w:rPr>
        <w:t>child care</w:t>
      </w:r>
      <w:proofErr w:type="gramEnd"/>
      <w:r w:rsidRPr="00971F2F">
        <w:rPr>
          <w:rFonts w:cstheme="minorHAnsi"/>
          <w:b/>
          <w:bCs/>
        </w:rPr>
        <w:t xml:space="preserve"> system, which is overwhelmingly served by Black, Latinx, and immigrant women, has for decades persistently functioned in low-wage survival mode barely able to make it from year-to-year.</w:t>
      </w:r>
      <w:r w:rsidRPr="00971F2F">
        <w:rPr>
          <w:rFonts w:cstheme="minorHAnsi"/>
        </w:rPr>
        <w:t> </w:t>
      </w:r>
    </w:p>
    <w:p w14:paraId="250769D4" w14:textId="77777777" w:rsidR="00D7328C" w:rsidRPr="00971F2F" w:rsidRDefault="00D7328C" w:rsidP="00D7328C">
      <w:pPr>
        <w:pStyle w:val="NoSpacing"/>
        <w:rPr>
          <w:rFonts w:cstheme="minorHAnsi"/>
        </w:rPr>
      </w:pPr>
    </w:p>
    <w:p w14:paraId="49709333" w14:textId="2C40DEB1" w:rsidR="00DB60E1" w:rsidRPr="00971F2F" w:rsidRDefault="00D7328C" w:rsidP="00971F2F">
      <w:pPr>
        <w:pStyle w:val="NoSpacing"/>
        <w:rPr>
          <w:rFonts w:cstheme="minorHAnsi"/>
        </w:rPr>
      </w:pPr>
      <w:r w:rsidRPr="00971F2F">
        <w:rPr>
          <w:rFonts w:cstheme="minorHAnsi"/>
        </w:rPr>
        <w:t xml:space="preserve">From our collective experiences, during the pandemic, we know that </w:t>
      </w:r>
      <w:proofErr w:type="gramStart"/>
      <w:r w:rsidRPr="00971F2F">
        <w:rPr>
          <w:rFonts w:cstheme="minorHAnsi"/>
        </w:rPr>
        <w:t>child care</w:t>
      </w:r>
      <w:proofErr w:type="gramEnd"/>
      <w:r w:rsidRPr="00971F2F">
        <w:rPr>
          <w:rFonts w:cstheme="minorHAnsi"/>
        </w:rPr>
        <w:t xml:space="preserve"> is not only vital for children and families to thrive, but is an essential element in the future of the California economy. The ECE Coalition developed this budget request with working parents in both the private and state-support system, a broad array of </w:t>
      </w:r>
      <w:proofErr w:type="gramStart"/>
      <w:r w:rsidRPr="00971F2F">
        <w:rPr>
          <w:rFonts w:cstheme="minorHAnsi"/>
        </w:rPr>
        <w:t>child care</w:t>
      </w:r>
      <w:proofErr w:type="gramEnd"/>
      <w:r w:rsidRPr="00971F2F">
        <w:rPr>
          <w:rFonts w:cstheme="minorHAnsi"/>
        </w:rPr>
        <w:t xml:space="preserve"> providers, and child advocacy groups. Based on our shared experience, we believe the Coalition’s budget recommendation will stabilize our </w:t>
      </w:r>
      <w:proofErr w:type="gramStart"/>
      <w:r w:rsidRPr="00971F2F">
        <w:rPr>
          <w:rFonts w:cstheme="minorHAnsi"/>
        </w:rPr>
        <w:t>child care</w:t>
      </w:r>
      <w:proofErr w:type="gramEnd"/>
      <w:r w:rsidRPr="00971F2F">
        <w:rPr>
          <w:rFonts w:cstheme="minorHAnsi"/>
        </w:rPr>
        <w:t xml:space="preserve"> system, to get families back to work, and ensure California’s sustained economic growth. </w:t>
      </w:r>
    </w:p>
    <w:p w14:paraId="4FABFCEC" w14:textId="77777777" w:rsidR="00971F2F" w:rsidRPr="00971F2F" w:rsidRDefault="00971F2F" w:rsidP="00971F2F">
      <w:pPr>
        <w:pStyle w:val="NoSpacing"/>
        <w:rPr>
          <w:rFonts w:cstheme="minorHAnsi"/>
        </w:rPr>
      </w:pPr>
    </w:p>
    <w:p w14:paraId="365FEA41" w14:textId="1CE48EE7" w:rsidR="00971F2F" w:rsidRPr="00971F2F" w:rsidRDefault="00971F2F">
      <w:pPr>
        <w:rPr>
          <w:rFonts w:cstheme="minorHAnsi"/>
        </w:rPr>
      </w:pPr>
      <w:r w:rsidRPr="00971F2F">
        <w:rPr>
          <w:rFonts w:cstheme="minorHAnsi"/>
        </w:rPr>
        <w:t>Sincerely,</w:t>
      </w:r>
    </w:p>
    <w:p w14:paraId="074B0691" w14:textId="77777777" w:rsidR="00971F2F" w:rsidRPr="00971F2F" w:rsidRDefault="00971F2F">
      <w:pPr>
        <w:rPr>
          <w:rFonts w:cstheme="minorHAnsi"/>
        </w:rPr>
      </w:pPr>
    </w:p>
    <w:sectPr w:rsidR="00971F2F" w:rsidRPr="0097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617D"/>
    <w:multiLevelType w:val="hybridMultilevel"/>
    <w:tmpl w:val="578C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55C47"/>
    <w:multiLevelType w:val="hybridMultilevel"/>
    <w:tmpl w:val="C38E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8C"/>
    <w:rsid w:val="001E0BFC"/>
    <w:rsid w:val="00784321"/>
    <w:rsid w:val="007B3A2F"/>
    <w:rsid w:val="007D3F7D"/>
    <w:rsid w:val="00971F2F"/>
    <w:rsid w:val="00D7328C"/>
    <w:rsid w:val="00DB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54FF"/>
  <w15:chartTrackingRefBased/>
  <w15:docId w15:val="{575F9C37-E981-4596-987D-45AD5AB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28C"/>
    <w:rPr>
      <w:rFonts w:cs="Times New Roman"/>
      <w:color w:val="0563C1" w:themeColor="hyperlink"/>
      <w:u w:val="single"/>
    </w:rPr>
  </w:style>
  <w:style w:type="character" w:styleId="Strong">
    <w:name w:val="Strong"/>
    <w:basedOn w:val="DefaultParagraphFont"/>
    <w:uiPriority w:val="22"/>
    <w:qFormat/>
    <w:rsid w:val="00D7328C"/>
    <w:rPr>
      <w:b/>
      <w:bCs/>
    </w:rPr>
  </w:style>
  <w:style w:type="paragraph" w:styleId="NoSpacing">
    <w:name w:val="No Spacing"/>
    <w:uiPriority w:val="1"/>
    <w:qFormat/>
    <w:rsid w:val="00D73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network.org/assets/general-files/California.pdf" TargetMode="External"/><Relationship Id="rId3" Type="http://schemas.openxmlformats.org/officeDocument/2006/relationships/settings" Target="settings.xml"/><Relationship Id="rId7" Type="http://schemas.openxmlformats.org/officeDocument/2006/relationships/hyperlink" Target="https://www.childtrends.org/publications/more-than-one-in-four-latino-and-black-households-with-children-are-experiencing-three-or-more-hardships-dur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menintheworkplace.com/" TargetMode="External"/><Relationship Id="rId11" Type="http://schemas.openxmlformats.org/officeDocument/2006/relationships/theme" Target="theme/theme1.xml"/><Relationship Id="rId5" Type="http://schemas.openxmlformats.org/officeDocument/2006/relationships/hyperlink" Target="https://nwlc.org/resources/feb-jobs-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berkeley.edu/2021/02/23/covid-19-is-ravaging-u-s-early-childhood-education-new-report-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Ramos</dc:creator>
  <cp:keywords/>
  <dc:description/>
  <cp:lastModifiedBy>Sarah Johnson</cp:lastModifiedBy>
  <cp:revision>2</cp:revision>
  <dcterms:created xsi:type="dcterms:W3CDTF">2021-04-13T20:31:00Z</dcterms:created>
  <dcterms:modified xsi:type="dcterms:W3CDTF">2021-04-13T20:31:00Z</dcterms:modified>
</cp:coreProperties>
</file>